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1B" w:rsidRPr="00EA3E1B" w:rsidRDefault="00EA3E1B" w:rsidP="00EA3E1B">
      <w:pPr>
        <w:pStyle w:val="ListeParagraf"/>
        <w:rPr>
          <w:b/>
          <w:kern w:val="36"/>
          <w:lang w:eastAsia="tr-TR"/>
        </w:rPr>
      </w:pPr>
      <w:r w:rsidRPr="00EA3E1B">
        <w:rPr>
          <w:b/>
          <w:kern w:val="36"/>
          <w:lang w:eastAsia="tr-TR"/>
        </w:rPr>
        <w:t>Plastik Atık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Plastikler petrol türevlerinden elde edilir.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b/>
          <w:u w:val="single"/>
          <w:lang w:eastAsia="tr-TR"/>
        </w:rPr>
        <w:t>NELER PLASTİK ATIKTIR?</w:t>
      </w:r>
      <w:r w:rsidRPr="00EA3E1B">
        <w:rPr>
          <w:rFonts w:ascii="Arial" w:hAnsi="Arial"/>
          <w:b/>
          <w:u w:val="single"/>
          <w:lang w:eastAsia="tr-TR"/>
        </w:rPr>
        <w:br/>
      </w:r>
      <w:r w:rsidRPr="00EA3E1B">
        <w:rPr>
          <w:rFonts w:ascii="Arial" w:hAnsi="Arial"/>
          <w:lang w:eastAsia="tr-TR"/>
        </w:rPr>
        <w:t>- Pet şişeler- Şişe kapakları - Su damacanaları- Ambalajlar - Naylon poşetler- Plastik kutular- Pet bardaklar- Temizlik malzemesi ambalajları- Kişisel bakım ürünleri ambalajları- Plastik oyuncaklar</w:t>
      </w:r>
    </w:p>
    <w:p w:rsidR="00EA3E1B" w:rsidRPr="00EA3E1B" w:rsidRDefault="00EA3E1B" w:rsidP="00EA3E1B">
      <w:pPr>
        <w:pStyle w:val="ListeParagraf"/>
        <w:rPr>
          <w:b/>
          <w:u w:val="single"/>
          <w:lang w:eastAsia="tr-TR"/>
        </w:rPr>
      </w:pPr>
      <w:r w:rsidRPr="00EA3E1B">
        <w:rPr>
          <w:b/>
          <w:u w:val="single"/>
          <w:lang w:eastAsia="tr-TR"/>
        </w:rPr>
        <w:t>YANLIŞ UYGULAMALAR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b/>
          <w:lang w:eastAsia="tr-TR"/>
        </w:rPr>
        <w:t>Çevreye Atılması</w:t>
      </w:r>
      <w:r w:rsidRPr="00EA3E1B">
        <w:rPr>
          <w:rFonts w:ascii="Arial" w:hAnsi="Arial"/>
          <w:lang w:eastAsia="tr-TR"/>
        </w:rPr>
        <w:br/>
        <w:t>- Çevre ve görüntü kirliliğine sebep olur. Doğada yok olma süreleri oldukça uzundur. Plastikler doğada 1000 yıl bozunmadan kalır.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b/>
          <w:lang w:eastAsia="tr-TR"/>
        </w:rPr>
        <w:t>Yakılması</w:t>
      </w:r>
      <w:r w:rsidRPr="00EA3E1B">
        <w:rPr>
          <w:rFonts w:ascii="Arial" w:hAnsi="Arial"/>
          <w:lang w:eastAsia="tr-TR"/>
        </w:rPr>
        <w:br/>
        <w:t>- Hava kirliliğine sebep olur.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b/>
          <w:lang w:eastAsia="tr-TR"/>
        </w:rPr>
        <w:t>Denize Atılması</w:t>
      </w:r>
      <w:r w:rsidRPr="00EA3E1B">
        <w:rPr>
          <w:rFonts w:ascii="Arial" w:hAnsi="Arial"/>
          <w:lang w:eastAsia="tr-TR"/>
        </w:rPr>
        <w:br/>
        <w:t>- Deniz ekosistemine zarar verir. Bazı canlılar plastiği gıda olarak algılayıp yiyerek boğulabilmektedirler. Plastik atıklar vücutlarına dolaşıp, hareket kabiliyetini sınırlamaktadır.</w:t>
      </w:r>
      <w:r w:rsidRPr="00EA3E1B">
        <w:rPr>
          <w:rFonts w:ascii="Arial" w:hAnsi="Arial"/>
          <w:lang w:eastAsia="tr-TR"/>
        </w:rPr>
        <w:br/>
        <w:t xml:space="preserve">- Denize atılan plastikler güneş ışığının etkisiyle uzun yıllar içerisinde bozunarak </w:t>
      </w:r>
      <w:proofErr w:type="spellStart"/>
      <w:r w:rsidRPr="00EA3E1B">
        <w:rPr>
          <w:rFonts w:ascii="Arial" w:hAnsi="Arial"/>
          <w:lang w:eastAsia="tr-TR"/>
        </w:rPr>
        <w:t>mikroplastiklere</w:t>
      </w:r>
      <w:proofErr w:type="spellEnd"/>
      <w:r w:rsidRPr="00EA3E1B">
        <w:rPr>
          <w:rFonts w:ascii="Arial" w:hAnsi="Arial"/>
          <w:lang w:eastAsia="tr-TR"/>
        </w:rPr>
        <w:t xml:space="preserve"> dönüşürler. Son yıllarda yapılan çalışmalarda deniz canlılarının vücutlarında </w:t>
      </w:r>
      <w:proofErr w:type="spellStart"/>
      <w:r w:rsidRPr="00EA3E1B">
        <w:rPr>
          <w:rFonts w:ascii="Arial" w:hAnsi="Arial"/>
          <w:lang w:eastAsia="tr-TR"/>
        </w:rPr>
        <w:t>mikroplastiklere</w:t>
      </w:r>
      <w:proofErr w:type="spellEnd"/>
      <w:r w:rsidRPr="00EA3E1B">
        <w:rPr>
          <w:rFonts w:ascii="Arial" w:hAnsi="Arial"/>
          <w:lang w:eastAsia="tr-TR"/>
        </w:rPr>
        <w:t xml:space="preserve"> rastlanmıştır. Balıklar vasıtasıyla gıda zincirine katılarak insan sağlığını da olumsuz etkiler.</w:t>
      </w:r>
    </w:p>
    <w:p w:rsidR="00EA3E1B" w:rsidRPr="00EA3E1B" w:rsidRDefault="00EA3E1B" w:rsidP="00EA3E1B">
      <w:pPr>
        <w:pStyle w:val="ListeParagraf"/>
        <w:rPr>
          <w:b/>
          <w:lang w:eastAsia="tr-TR"/>
        </w:rPr>
      </w:pPr>
      <w:r w:rsidRPr="00EA3E1B">
        <w:rPr>
          <w:b/>
          <w:lang w:eastAsia="tr-TR"/>
        </w:rPr>
        <w:t>NE KAZANILIR?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noProof/>
          <w:lang w:eastAsia="tr-TR"/>
        </w:rPr>
        <w:drawing>
          <wp:inline distT="0" distB="0" distL="0" distR="0">
            <wp:extent cx="320924" cy="320924"/>
            <wp:effectExtent l="0" t="0" r="0" b="0"/>
            <wp:docPr id="16" name="Resim 16" descr="http://sifiratik.gov.tr/Upload/icons/black/sim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ifiratik.gov.tr/Upload/icons/black/sims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3" cy="32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E1B">
        <w:rPr>
          <w:rFonts w:ascii="Arial" w:hAnsi="Arial"/>
          <w:lang w:eastAsia="tr-TR"/>
        </w:rPr>
        <w:t xml:space="preserve">10Milyon </w:t>
      </w:r>
      <w:proofErr w:type="spellStart"/>
      <w:r w:rsidRPr="00EA3E1B">
        <w:rPr>
          <w:rFonts w:ascii="Arial" w:hAnsi="Arial"/>
          <w:lang w:eastAsia="tr-TR"/>
        </w:rPr>
        <w:t>KwhEnerji</w:t>
      </w:r>
      <w:proofErr w:type="spellEnd"/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noProof/>
          <w:lang w:eastAsia="tr-TR"/>
        </w:rPr>
        <w:drawing>
          <wp:inline distT="0" distB="0" distL="0" distR="0">
            <wp:extent cx="267197" cy="267197"/>
            <wp:effectExtent l="19050" t="0" r="0" b="0"/>
            <wp:docPr id="17" name="Resim 17" descr="http://sifiratik.gov.tr/Upload/icons/black/s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ifiratik.gov.tr/Upload/icons/black/se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7" cy="26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E1B">
        <w:rPr>
          <w:rFonts w:ascii="Arial" w:hAnsi="Arial"/>
          <w:lang w:eastAsia="tr-TR"/>
        </w:rPr>
        <w:t xml:space="preserve">74Milyon </w:t>
      </w:r>
      <w:proofErr w:type="spellStart"/>
      <w:r w:rsidRPr="00EA3E1B">
        <w:rPr>
          <w:rFonts w:ascii="Arial" w:hAnsi="Arial"/>
          <w:lang w:eastAsia="tr-TR"/>
        </w:rPr>
        <w:t>KgSera</w:t>
      </w:r>
      <w:proofErr w:type="spellEnd"/>
      <w:r w:rsidRPr="00EA3E1B">
        <w:rPr>
          <w:rFonts w:ascii="Arial" w:hAnsi="Arial"/>
          <w:lang w:eastAsia="tr-TR"/>
        </w:rPr>
        <w:t xml:space="preserve"> Gazı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noProof/>
          <w:lang w:eastAsia="tr-TR"/>
        </w:rPr>
        <w:drawing>
          <wp:inline distT="0" distB="0" distL="0" distR="0">
            <wp:extent cx="219489" cy="219489"/>
            <wp:effectExtent l="19050" t="0" r="9111" b="0"/>
            <wp:docPr id="18" name="Resim 18" descr="http://sifiratik.gov.tr/Upload/icons/black/pe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ifiratik.gov.tr/Upload/icons/black/petr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9" cy="22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E1B">
        <w:rPr>
          <w:rFonts w:ascii="Arial" w:hAnsi="Arial"/>
          <w:lang w:eastAsia="tr-TR"/>
        </w:rPr>
        <w:t xml:space="preserve">29Bin </w:t>
      </w:r>
      <w:proofErr w:type="spellStart"/>
      <w:r w:rsidRPr="00EA3E1B">
        <w:rPr>
          <w:rFonts w:ascii="Arial" w:hAnsi="Arial"/>
          <w:lang w:eastAsia="tr-TR"/>
        </w:rPr>
        <w:t>VarilPetrol</w:t>
      </w:r>
      <w:proofErr w:type="spellEnd"/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noProof/>
          <w:lang w:eastAsia="tr-TR"/>
        </w:rPr>
        <w:drawing>
          <wp:inline distT="0" distB="0" distL="0" distR="0">
            <wp:extent cx="267197" cy="267197"/>
            <wp:effectExtent l="19050" t="0" r="0" b="0"/>
            <wp:docPr id="19" name="Resim 19" descr="http://sifiratik.gov.tr/Upload/icons/black/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ifiratik.gov.tr/Upload/icons/black/bo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2" cy="26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E1B">
        <w:rPr>
          <w:rFonts w:ascii="Arial" w:hAnsi="Arial"/>
          <w:lang w:eastAsia="tr-TR"/>
        </w:rPr>
        <w:t>41Milyon m3Depolama Alanı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DİKKAT</w:t>
      </w:r>
      <w:r>
        <w:rPr>
          <w:rFonts w:ascii="Arial" w:hAnsi="Arial"/>
          <w:lang w:eastAsia="tr-TR"/>
        </w:rPr>
        <w:t xml:space="preserve"> </w:t>
      </w:r>
      <w:r w:rsidRPr="00EA3E1B">
        <w:rPr>
          <w:rFonts w:ascii="Arial" w:hAnsi="Arial"/>
          <w:lang w:eastAsia="tr-TR"/>
        </w:rPr>
        <w:t xml:space="preserve">Denizlerdeki plastik atık miktarının şu anda 150 milyon ton olduğu düşünülmektedir. </w:t>
      </w:r>
      <w:proofErr w:type="spellStart"/>
      <w:r w:rsidRPr="00EA3E1B">
        <w:rPr>
          <w:rFonts w:ascii="Arial" w:hAnsi="Arial"/>
          <w:lang w:eastAsia="tr-TR"/>
        </w:rPr>
        <w:t>Ocean</w:t>
      </w:r>
      <w:proofErr w:type="spellEnd"/>
      <w:r w:rsidRPr="00EA3E1B">
        <w:rPr>
          <w:rFonts w:ascii="Arial" w:hAnsi="Arial"/>
          <w:lang w:eastAsia="tr-TR"/>
        </w:rPr>
        <w:t xml:space="preserve"> </w:t>
      </w:r>
      <w:proofErr w:type="spellStart"/>
      <w:r w:rsidRPr="00EA3E1B">
        <w:rPr>
          <w:rFonts w:ascii="Arial" w:hAnsi="Arial"/>
          <w:lang w:eastAsia="tr-TR"/>
        </w:rPr>
        <w:t>Conservancy</w:t>
      </w:r>
      <w:proofErr w:type="spellEnd"/>
      <w:r w:rsidRPr="00EA3E1B">
        <w:rPr>
          <w:rFonts w:ascii="Arial" w:hAnsi="Arial"/>
          <w:lang w:eastAsia="tr-TR"/>
        </w:rPr>
        <w:t xml:space="preserve"> örgütünün tahminlerine göre 10 yıl içinde denizlerdeki plastik atık miktarı 250 milyon tona ulaşacak ve 2050 yılı itibariyle denizlerde balıktan çok plastik olacak.</w:t>
      </w:r>
      <w:r w:rsidRPr="00EA3E1B">
        <w:rPr>
          <w:rFonts w:ascii="Arial" w:hAnsi="Arial"/>
          <w:lang w:eastAsia="tr-TR"/>
        </w:rPr>
        <w:br/>
        <w:t>- Tek kullanımlık plastik tabak, çatal, kaşık vb. ürünlerin kullanımının azaltılması bu duruma engel olmak için alınabilecek önlemlerden bir tanesidir.</w:t>
      </w:r>
    </w:p>
    <w:p w:rsidR="00EA3E1B" w:rsidRPr="00EA3E1B" w:rsidRDefault="00EA3E1B" w:rsidP="00EA3E1B">
      <w:pPr>
        <w:pStyle w:val="ListeParagraf"/>
        <w:rPr>
          <w:b/>
          <w:caps/>
          <w:kern w:val="36"/>
          <w:u w:val="single"/>
          <w:lang w:eastAsia="tr-TR"/>
        </w:rPr>
      </w:pPr>
      <w:r w:rsidRPr="00EA3E1B">
        <w:rPr>
          <w:b/>
          <w:caps/>
          <w:kern w:val="36"/>
          <w:u w:val="single"/>
          <w:lang w:eastAsia="tr-TR"/>
        </w:rPr>
        <w:t>PLASTİK ATIK GERİ DÖNÜŞÜM SÜRECİ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1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Atılırken içindeki atıklar boşaltılır.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2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Nakliyeden tasarruf sağlamak amacıyla biriktirme kumbaralarına sıkıştırılarak atılır.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3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Plastik atıklar sarı renk biriktirme kumbaralarında biriktirilir.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4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Plastik atıklar lisanslı geri dönüşüm tesislerine gönderilir.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5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Plastik atıklar öncelikle cinslerine göre ayrılarak geri dönüşüm işlemine tabi tutulur.</w:t>
      </w:r>
    </w:p>
    <w:p w:rsidR="00EA3E1B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6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Cinslerine göre ayrılan geri dönüşebilir plastik atıklar, kırma makinelerinde kırılıp küçük parçalara ayrılır.</w:t>
      </w:r>
    </w:p>
    <w:p w:rsidR="00063E70" w:rsidRPr="00EA3E1B" w:rsidRDefault="00EA3E1B" w:rsidP="00EA3E1B">
      <w:pPr>
        <w:pStyle w:val="ListeParagraf"/>
        <w:rPr>
          <w:rFonts w:ascii="Arial" w:hAnsi="Arial"/>
          <w:lang w:eastAsia="tr-TR"/>
        </w:rPr>
      </w:pPr>
      <w:r w:rsidRPr="00EA3E1B">
        <w:rPr>
          <w:rFonts w:ascii="Arial" w:hAnsi="Arial"/>
          <w:lang w:eastAsia="tr-TR"/>
        </w:rPr>
        <w:t>7</w:t>
      </w:r>
      <w:r>
        <w:rPr>
          <w:rFonts w:ascii="Arial" w:hAnsi="Arial"/>
          <w:lang w:eastAsia="tr-TR"/>
        </w:rPr>
        <w:t>-</w:t>
      </w:r>
      <w:r w:rsidRPr="00EA3E1B">
        <w:rPr>
          <w:rFonts w:ascii="Arial" w:hAnsi="Arial"/>
          <w:lang w:eastAsia="tr-TR"/>
        </w:rPr>
        <w:t>İşletmeler bu parçaları direkt olarak belli oranlarda, orijinal hammadde ile karıştırarak üretim işleminde kullanabildiği gibi; tekrar eritip katkı maddeleri katarak ikinci sınıf hammadde olarak da kullanabilir.</w:t>
      </w:r>
    </w:p>
    <w:sectPr w:rsidR="00063E70" w:rsidRPr="00EA3E1B" w:rsidSect="0006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34C"/>
    <w:multiLevelType w:val="multilevel"/>
    <w:tmpl w:val="616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2050"/>
    <w:multiLevelType w:val="multilevel"/>
    <w:tmpl w:val="A2F0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3E1B"/>
    <w:rsid w:val="00063E70"/>
    <w:rsid w:val="00851E98"/>
    <w:rsid w:val="00EA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0"/>
  </w:style>
  <w:style w:type="paragraph" w:styleId="Balk1">
    <w:name w:val="heading 1"/>
    <w:basedOn w:val="Normal"/>
    <w:link w:val="Balk1Char"/>
    <w:uiPriority w:val="9"/>
    <w:qFormat/>
    <w:rsid w:val="00EA3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EA3E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E1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A3E1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E1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E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76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06569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747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3149">
                              <w:marLeft w:val="0"/>
                              <w:marRight w:val="0"/>
                              <w:marTop w:val="0"/>
                              <w:marBottom w:val="7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7640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7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837659">
                      <w:marLeft w:val="11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32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071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cp:lastPrinted>2018-12-06T10:29:00Z</cp:lastPrinted>
  <dcterms:created xsi:type="dcterms:W3CDTF">2018-12-06T10:25:00Z</dcterms:created>
  <dcterms:modified xsi:type="dcterms:W3CDTF">2018-12-06T10:29:00Z</dcterms:modified>
</cp:coreProperties>
</file>